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8A" w:rsidRPr="00627409" w:rsidRDefault="00627409" w:rsidP="00B52B8A">
      <w:pPr>
        <w:rPr>
          <w:rFonts w:asciiTheme="majorHAnsi" w:hAnsiTheme="majorHAnsi" w:cs="Arial"/>
          <w:b/>
          <w:bCs/>
          <w:color w:val="0070C0"/>
          <w:sz w:val="24"/>
          <w:szCs w:val="24"/>
        </w:rPr>
      </w:pPr>
      <w:proofErr w:type="gramStart"/>
      <w:r>
        <w:rPr>
          <w:rFonts w:asciiTheme="majorHAnsi" w:hAnsiTheme="majorHAnsi" w:cs="Arial"/>
          <w:b/>
          <w:bCs/>
          <w:color w:val="0070C0"/>
          <w:sz w:val="28"/>
          <w:szCs w:val="24"/>
        </w:rPr>
        <w:t xml:space="preserve">Eye to Eye: </w:t>
      </w:r>
      <w:r w:rsidR="00B52B8A" w:rsidRPr="00627409">
        <w:rPr>
          <w:rFonts w:asciiTheme="majorHAnsi" w:hAnsiTheme="majorHAnsi" w:cs="Arial"/>
          <w:b/>
          <w:bCs/>
          <w:color w:val="0070C0"/>
          <w:sz w:val="28"/>
          <w:szCs w:val="24"/>
        </w:rPr>
        <w:t>Connecting With Gifted Visual-Spatial Learners</w:t>
      </w:r>
      <w:r w:rsidR="00B52B8A" w:rsidRPr="00627409">
        <w:rPr>
          <w:rFonts w:asciiTheme="majorHAnsi" w:hAnsiTheme="majorHAnsi" w:cs="Arial"/>
          <w:b/>
          <w:bCs/>
          <w:color w:val="0070C0"/>
          <w:sz w:val="28"/>
          <w:szCs w:val="24"/>
        </w:rPr>
        <w:t> </w:t>
      </w:r>
      <w:r>
        <w:rPr>
          <w:rFonts w:asciiTheme="majorHAnsi" w:hAnsiTheme="majorHAnsi" w:cs="Arial"/>
          <w:b/>
          <w:bCs/>
          <w:color w:val="0070C0"/>
          <w:sz w:val="28"/>
          <w:szCs w:val="24"/>
        </w:rPr>
        <w:br/>
      </w:r>
      <w:r w:rsidRPr="00627409">
        <w:rPr>
          <w:rFonts w:asciiTheme="majorHAnsi" w:hAnsiTheme="majorHAnsi" w:cs="Arial"/>
          <w:b/>
          <w:bCs/>
          <w:color w:val="0070C0"/>
          <w:sz w:val="24"/>
          <w:szCs w:val="24"/>
        </w:rPr>
        <w:t>by Rebecca L. Mann, Ph.D.</w:t>
      </w:r>
      <w:proofErr w:type="gramEnd"/>
    </w:p>
    <w:p w:rsidR="00627409" w:rsidRPr="00627409" w:rsidRDefault="00627409" w:rsidP="00B52B8A">
      <w:pPr>
        <w:rPr>
          <w:rFonts w:asciiTheme="majorHAnsi" w:hAnsiTheme="majorHAnsi" w:cs="Arial"/>
          <w:b/>
          <w:bCs/>
          <w:color w:val="0070C0"/>
          <w:sz w:val="28"/>
          <w:szCs w:val="24"/>
        </w:rPr>
      </w:pPr>
      <w:r w:rsidRPr="00627409">
        <w:rPr>
          <w:rStyle w:val="Emphasis"/>
          <w:rFonts w:asciiTheme="majorHAnsi" w:hAnsiTheme="majorHAnsi"/>
          <w:i w:val="0"/>
        </w:rPr>
        <w:t>Mann</w:t>
      </w:r>
      <w:r w:rsidRPr="00627409">
        <w:rPr>
          <w:rStyle w:val="st"/>
          <w:rFonts w:asciiTheme="majorHAnsi" w:hAnsiTheme="majorHAnsi"/>
          <w:i/>
        </w:rPr>
        <w:t xml:space="preserve">, </w:t>
      </w:r>
      <w:r>
        <w:rPr>
          <w:rStyle w:val="Emphasis"/>
          <w:rFonts w:asciiTheme="majorHAnsi" w:hAnsiTheme="majorHAnsi"/>
          <w:i w:val="0"/>
        </w:rPr>
        <w:t>R.</w:t>
      </w:r>
      <w:r w:rsidRPr="00627409">
        <w:rPr>
          <w:rStyle w:val="st"/>
          <w:rFonts w:asciiTheme="majorHAnsi" w:hAnsiTheme="majorHAnsi"/>
        </w:rPr>
        <w:t xml:space="preserve"> L. (2001)</w:t>
      </w:r>
      <w:proofErr w:type="gramStart"/>
      <w:r w:rsidRPr="00627409">
        <w:rPr>
          <w:rStyle w:val="st"/>
          <w:rFonts w:asciiTheme="majorHAnsi" w:hAnsiTheme="majorHAnsi"/>
        </w:rPr>
        <w:t xml:space="preserve">. </w:t>
      </w:r>
      <w:proofErr w:type="gramEnd"/>
      <w:r w:rsidRPr="00627409">
        <w:rPr>
          <w:rStyle w:val="Emphasis"/>
          <w:rFonts w:asciiTheme="majorHAnsi" w:hAnsiTheme="majorHAnsi"/>
        </w:rPr>
        <w:t>Eye to eye</w:t>
      </w:r>
      <w:proofErr w:type="gramStart"/>
      <w:r w:rsidRPr="00627409">
        <w:rPr>
          <w:rStyle w:val="st"/>
          <w:rFonts w:asciiTheme="majorHAnsi" w:hAnsiTheme="majorHAnsi"/>
        </w:rPr>
        <w:t xml:space="preserve">. </w:t>
      </w:r>
      <w:proofErr w:type="gramEnd"/>
      <w:r w:rsidRPr="00627409">
        <w:rPr>
          <w:rStyle w:val="st"/>
          <w:rFonts w:asciiTheme="majorHAnsi" w:hAnsiTheme="majorHAnsi"/>
        </w:rPr>
        <w:t>Gifted Children Today Magazine, 24 (4), 54.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color w:val="000000"/>
          <w:sz w:val="24"/>
          <w:szCs w:val="24"/>
        </w:rPr>
        <w:t>For his third birthday</w:t>
      </w:r>
      <w:bookmarkStart w:id="0" w:name="_GoBack"/>
      <w:bookmarkEnd w:id="0"/>
      <w:r w:rsidRPr="00B52B8A">
        <w:rPr>
          <w:rFonts w:asciiTheme="majorHAnsi" w:hAnsiTheme="majorHAnsi" w:cs="Arial"/>
          <w:color w:val="000000"/>
          <w:sz w:val="24"/>
          <w:szCs w:val="24"/>
        </w:rPr>
        <w:t>, Matthew received his first set of LEGO® building blocks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While the adults around him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happily followed the instructions, Matthew created his own elaborate and unique structures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At 23, after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graduating from college, one of the necessities Matthew bought to furnish his first apartment was a large set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of LEGO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In the 20 intervening years, Matthew both excelled in and struggled with school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Some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researchers suggest that his spatial strengths and sequential weaknesses may be the reason for 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extremes in his educational experience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Gifted students such as Matthew have been described as having a visual-spatial approach to learning and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may present a confusing scenario to teachers and parents (Silverman, 1989, 1997)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 disparity between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their learning approach and traditional teaching methods may prevent these children's strengths from being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identified and nurtured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 United States educational system tends to favor sequential learners; high-ability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children with strengths in the spatial aptitudes and weaknesses in the sequential realm may not be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recognized as gifted learners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Successful adults who use this approach to learn tend to have careers in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mathematics, science, computer technology, engineering, aeronautics, and the fine arts.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Supportive</w:t>
      </w:r>
      <w:r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environments, awareness of strengths and weaknesses, and some simple academic modifications may help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these children become innovative leaders in society.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5BC7"/>
          <w:sz w:val="24"/>
          <w:szCs w:val="24"/>
        </w:rPr>
        <w:t>Strengths of Visual-Spatial Learners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Students labeled as visual-spatial learners are frequently adept at puzzles, mazes, reading maps, finding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their way in unfamiliar territory, and creating visual images of locations and objects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Visual transformations,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such as how the furniture in a room would look if it were rearranged, come easily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They can take almost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anything apart and put it back together again in working order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Unfortunately, these skills are not </w:t>
      </w:r>
      <w:r>
        <w:rPr>
          <w:rFonts w:asciiTheme="majorHAnsi" w:hAnsiTheme="majorHAnsi" w:cs="Arial"/>
          <w:color w:val="000000"/>
          <w:sz w:val="24"/>
          <w:szCs w:val="24"/>
        </w:rPr>
        <w:t>often valued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in today's educational system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Children who are “LEGO-maniacs” are often visual-spatial learners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spellStart"/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Construx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™, </w:t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K'nex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>™, and Tinker-Toys™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are favorite toys of these children, as are the boxes in which the toys are packaged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Visual-spatial learners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rarely follow the directions, preferring instead to create their own designs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Computers are another of their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chosen pastimes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If a teacher needs to know how to solve a computer technological glitch, ask a </w:t>
      </w:r>
      <w:r>
        <w:rPr>
          <w:rFonts w:asciiTheme="majorHAnsi" w:hAnsiTheme="majorHAnsi" w:cs="Arial"/>
          <w:color w:val="000000"/>
          <w:sz w:val="24"/>
          <w:szCs w:val="24"/>
        </w:rPr>
        <w:t>visual spatial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child and the situation may quickly be resolved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Many of these children have few toys intact because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they are speculators at heart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They have a tendency to pull everything apart to figure out how it works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These learners are reflective and need time to think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As a result, they frequently appear to be off task and</w:t>
      </w:r>
      <w:r>
        <w:rPr>
          <w:rFonts w:asciiTheme="majorHAnsi" w:hAnsiTheme="majorHAnsi" w:cs="Arial"/>
          <w:color w:val="000000"/>
          <w:sz w:val="24"/>
          <w:szCs w:val="24"/>
        </w:rPr>
        <w:t> daydreaming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Highly creative, these children often create imaginary playmates who become a part of their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lives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Remarkable imaginations find them making up vivid stories that they may have great difficulty putting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into written form (Silverman, 1989b)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Organization is usually not a 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lastRenderedPageBreak/>
        <w:t>strength of this learner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Homework is regularly forgotten, clocks seem to have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no meaning, desks look as if they have been ransacked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There appears to be an unwillingness to conform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to schedules and routines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Cleaning their rooms may overwhelm these children and seem like an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insurmountable task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Sensitive and emotional, these children may call your bluff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They are very good at reading people and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sensing ambivalence and anxiety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Also physically sensitive, they may “over-react” to their environment: itchy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clothes, unanticipated noise, and visual stimulation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Hypersensitivity also causes these children to be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reluctant risk takers (Silverman &amp; Freed, 1991; Sword, 1997)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Academically, these learners appear to struggle with easy concepts but thrive on complexity (Baum, 1984)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Math computation may be laborious, but abstract math concepts are easy for them to comprehend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Reading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aloud may be arduous with little comprehension of content, while reading silently may result in a high level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of understanding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These children often arrive at surprising conclusions and keep you guessing what their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next response will be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Their struggles with “simple” concepts send conflicting messages to teachers and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parents who have listened to their elaborate stories and explanations.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5BC7"/>
          <w:sz w:val="24"/>
          <w:szCs w:val="24"/>
        </w:rPr>
        <w:t>Sequential vs. Spatial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 American educational system is structured sequentially, putting the student with a strong spatial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inclination “at odds” with the system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There is a mismatch between the way the child is taught and the way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 child processes information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Through her extensive work with highly gifted learners, Silverman (1997)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developed a list of characteristics, which contrasts sequential (i.e., deductive) and spatial (i.e., inductive)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learners</w:t>
      </w:r>
      <w:r w:rsidR="00627409">
        <w:rPr>
          <w:rFonts w:asciiTheme="majorHAnsi" w:hAnsiTheme="majorHAnsi" w:cs="Arial"/>
          <w:color w:val="000000"/>
          <w:sz w:val="24"/>
          <w:szCs w:val="24"/>
        </w:rPr>
        <w:t xml:space="preserve"> as indicated in </w:t>
      </w:r>
      <w:proofErr w:type="gramStart"/>
      <w:r w:rsidR="00627409">
        <w:rPr>
          <w:rFonts w:asciiTheme="majorHAnsi" w:hAnsiTheme="majorHAnsi" w:cs="Arial"/>
          <w:color w:val="000000"/>
          <w:sz w:val="24"/>
          <w:szCs w:val="24"/>
        </w:rPr>
        <w:t xml:space="preserve">Table 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</w:p>
    <w:p w:rsidR="00627409" w:rsidRPr="00627409" w:rsidRDefault="00627409" w:rsidP="00627409">
      <w:pPr>
        <w:rPr>
          <w:rFonts w:asciiTheme="majorHAnsi" w:hAnsiTheme="majorHAnsi" w:cs="Courier"/>
          <w:sz w:val="24"/>
          <w:szCs w:val="24"/>
        </w:rPr>
      </w:pPr>
      <w:r w:rsidRPr="00627409">
        <w:rPr>
          <w:rFonts w:asciiTheme="majorHAnsi" w:hAnsiTheme="majorHAnsi" w:cs="Arial"/>
          <w:b/>
          <w:bCs/>
          <w:color w:val="0070C0"/>
          <w:sz w:val="24"/>
          <w:szCs w:val="24"/>
        </w:rPr>
        <w:t xml:space="preserve">Table </w:t>
      </w:r>
      <w:proofErr w:type="gramStart"/>
      <w:r w:rsidRPr="00627409">
        <w:rPr>
          <w:rFonts w:asciiTheme="majorHAnsi" w:hAnsiTheme="majorHAnsi" w:cs="Arial"/>
          <w:b/>
          <w:bCs/>
          <w:color w:val="0070C0"/>
          <w:sz w:val="24"/>
          <w:szCs w:val="24"/>
        </w:rPr>
        <w:t>1</w:t>
      </w:r>
      <w:proofErr w:type="gramEnd"/>
      <w:r w:rsidRPr="00627409">
        <w:rPr>
          <w:rFonts w:asciiTheme="majorHAnsi" w:hAnsiTheme="majorHAnsi" w:cs="Arial"/>
          <w:b/>
          <w:bCs/>
          <w:color w:val="0070C0"/>
          <w:sz w:val="24"/>
          <w:szCs w:val="24"/>
        </w:rPr>
        <w:t xml:space="preserve"> Characteristics of Sequential and Spatial Learners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7409" w:rsidRPr="00627409" w:rsidTr="0047136B">
        <w:tc>
          <w:tcPr>
            <w:tcW w:w="4788" w:type="dxa"/>
          </w:tcPr>
          <w:p w:rsidR="00627409" w:rsidRPr="00627409" w:rsidRDefault="00627409" w:rsidP="0047136B">
            <w:pPr>
              <w:rPr>
                <w:rFonts w:asciiTheme="majorHAnsi" w:hAnsiTheme="majorHAnsi" w:cs="Courier"/>
                <w:b/>
                <w:color w:val="0070C0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b/>
                <w:color w:val="0070C0"/>
                <w:sz w:val="24"/>
                <w:szCs w:val="24"/>
              </w:rPr>
              <w:t>Spatial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 xml:space="preserve">Preoccupied with space 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Eastern thought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Whole to part Learns concept all at once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Systems thinker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Concepts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Follows visual directions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Sight words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Slow processor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Organizationally impaired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Gets difficult concepts, struggles with easy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Learning sticks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Does well with geometry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Inductive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Synthesis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Intuitive grasp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Technology/creative talent </w:t>
            </w:r>
          </w:p>
          <w:p w:rsidR="00627409" w:rsidRP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lastRenderedPageBreak/>
              <w:t>Late bloomer </w:t>
            </w:r>
          </w:p>
        </w:tc>
        <w:tc>
          <w:tcPr>
            <w:tcW w:w="4788" w:type="dxa"/>
          </w:tcPr>
          <w:p w:rsidR="00627409" w:rsidRPr="00627409" w:rsidRDefault="00627409" w:rsidP="0047136B">
            <w:pPr>
              <w:rPr>
                <w:rFonts w:asciiTheme="majorHAnsi" w:hAnsiTheme="majorHAnsi" w:cs="Courier"/>
                <w:b/>
                <w:color w:val="0070C0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b/>
                <w:color w:val="0070C0"/>
                <w:sz w:val="24"/>
                <w:szCs w:val="24"/>
              </w:rPr>
              <w:lastRenderedPageBreak/>
              <w:t>Sequential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Profoundly influenced by time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Western thought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Step-by-step</w:t>
            </w:r>
            <w:r>
              <w:rPr>
                <w:rFonts w:asciiTheme="majorHAnsi" w:hAnsiTheme="majorHAnsi" w:cs="Courier"/>
                <w:sz w:val="24"/>
                <w:szCs w:val="24"/>
              </w:rPr>
              <w:t xml:space="preserve">: </w:t>
            </w:r>
            <w:r w:rsidRPr="00627409">
              <w:rPr>
                <w:rFonts w:asciiTheme="majorHAnsi" w:hAnsiTheme="majorHAnsi" w:cs="Courier"/>
                <w:sz w:val="24"/>
                <w:szCs w:val="24"/>
              </w:rPr>
              <w:t>Learn by trial and error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Analytical thinker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Computation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Follows oral directions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Phonics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Rapid processor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Good organization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Progresses from easy to difficult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Needs repetition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Does well with algebra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Deductive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Analysis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Orderly progression </w:t>
            </w:r>
          </w:p>
          <w:p w:rsid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t>Academic talent </w:t>
            </w:r>
          </w:p>
          <w:p w:rsidR="00627409" w:rsidRPr="00627409" w:rsidRDefault="00627409" w:rsidP="0047136B">
            <w:pPr>
              <w:rPr>
                <w:rFonts w:asciiTheme="majorHAnsi" w:hAnsiTheme="majorHAnsi" w:cs="Courier"/>
                <w:sz w:val="24"/>
                <w:szCs w:val="24"/>
              </w:rPr>
            </w:pPr>
            <w:r w:rsidRPr="00627409">
              <w:rPr>
                <w:rFonts w:asciiTheme="majorHAnsi" w:hAnsiTheme="majorHAnsi" w:cs="Courier"/>
                <w:sz w:val="24"/>
                <w:szCs w:val="24"/>
              </w:rPr>
              <w:lastRenderedPageBreak/>
              <w:t>Early bloomer </w:t>
            </w:r>
          </w:p>
        </w:tc>
      </w:tr>
    </w:tbl>
    <w:p w:rsidR="00627409" w:rsidRPr="00627409" w:rsidRDefault="00627409" w:rsidP="00627409">
      <w:pPr>
        <w:rPr>
          <w:rFonts w:asciiTheme="majorHAnsi" w:hAnsiTheme="majorHAnsi" w:cs="Arial"/>
          <w:sz w:val="24"/>
          <w:szCs w:val="24"/>
        </w:rPr>
      </w:pPr>
      <w:r w:rsidRPr="00627409">
        <w:rPr>
          <w:rFonts w:asciiTheme="majorHAnsi" w:hAnsiTheme="majorHAnsi" w:cs="Arial"/>
          <w:sz w:val="24"/>
          <w:szCs w:val="24"/>
        </w:rPr>
        <w:lastRenderedPageBreak/>
        <w:t>Note: From Effective techniques for teaching highly gifted visual-spatial learners, by L. K. Silverman, 1997</w:t>
      </w:r>
      <w:proofErr w:type="gramStart"/>
      <w:r w:rsidRPr="00627409">
        <w:rPr>
          <w:rFonts w:asciiTheme="majorHAnsi" w:hAnsiTheme="majorHAnsi" w:cs="Arial"/>
          <w:sz w:val="24"/>
          <w:szCs w:val="24"/>
        </w:rPr>
        <w:t>. </w:t>
      </w:r>
      <w:proofErr w:type="gramEnd"/>
      <w:r w:rsidRPr="00627409">
        <w:rPr>
          <w:rFonts w:asciiTheme="majorHAnsi" w:hAnsiTheme="majorHAnsi" w:cs="Arial"/>
          <w:sz w:val="24"/>
          <w:szCs w:val="24"/>
        </w:rPr>
        <w:t xml:space="preserve">Retrieved August 15, 1997, from the World Wide Web:  </w:t>
      </w:r>
      <w:hyperlink r:id="rId6" w:history="1">
        <w:r w:rsidRPr="00627409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http://www.giftedd</w:t>
        </w:r>
        <w:r w:rsidRPr="00627409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evelopment.com/Articles/Effective Techniques.html</w:t>
        </w:r>
      </w:hyperlink>
    </w:p>
    <w:p w:rsidR="00627409" w:rsidRDefault="00627409" w:rsidP="00B52B8A">
      <w:pPr>
        <w:rPr>
          <w:rFonts w:asciiTheme="majorHAnsi" w:hAnsiTheme="majorHAnsi" w:cs="Times New Roman"/>
          <w:color w:val="000000"/>
          <w:sz w:val="24"/>
          <w:szCs w:val="24"/>
        </w:rPr>
      </w:pP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5BC7"/>
          <w:sz w:val="24"/>
          <w:szCs w:val="24"/>
        </w:rPr>
        <w:t xml:space="preserve"> </w:t>
      </w:r>
      <w:r w:rsidRPr="00B52B8A">
        <w:rPr>
          <w:rFonts w:asciiTheme="majorHAnsi" w:hAnsiTheme="majorHAnsi" w:cs="Arial"/>
          <w:b/>
          <w:bCs/>
          <w:color w:val="005BC7"/>
          <w:sz w:val="24"/>
          <w:szCs w:val="24"/>
        </w:rPr>
        <w:t>Strategies for Teaching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To be successful in school, students with a visual-spatial approach to learning may need to have their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strengths recognized and nurtured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“For these people, it is sometimes far easier to learn firsthand from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nature than it is to learn </w:t>
      </w:r>
      <w:r>
        <w:rPr>
          <w:rFonts w:asciiTheme="majorHAnsi" w:hAnsiTheme="majorHAnsi" w:cs="Arial"/>
          <w:color w:val="000000"/>
          <w:sz w:val="24"/>
          <w:szCs w:val="24"/>
        </w:rPr>
        <w:t>second hand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from books,” (West, 1997, p. 12)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Increasing the level of difficulty,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encouraging visualization, teaching holistically, using humor, color, mnemonics, and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Manipulatives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are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methods that 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may be successfully used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>by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these learners.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General Strategies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“Visual-spatial learners need a Gestalt approach to learning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They do best when they deal with whole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systems, abstract relationships, major concepts, inductive learning, and problem solving” (Silverman,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1989b, p. 18)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They have difficulty attending to details and don't understand if learning opportunities are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provided in small chunks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Give these children “the big picture” at the beginning of each unit or activity and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explain major concepts so the child understands the instructional goal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With the concept, the frame of 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puzzle, in place, the child may then start fitting in the pieces to create a complete picture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Interdisciplinary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units are a favorite of these learners who easily make connections between the disciplines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Real-life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scenarios and service-oriented projects are excellent opportunities for visual-spatial learners to demonstrate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their strengths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“A-ha” describes the way that these learners acquire new information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These children may either totally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understand a concept or understand nothing about it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Difficulty explaining the steps of their thinking may be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due to their holistic processing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Once the “A-ha” occurs, learning is relatively permanent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Because of this,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and the fact that they may not learn by rote memorization, visual-spatial learners detest routine and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repetitive tasks (Silverman, 1989c)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Allowing opportunities for inductive learning, where the child might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discover the content or method, is a highly effective strategy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An effective method that has been used with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gifted learners, is to tell them the goal of the instruction and allow them to figure out a way to achieve 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goal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Teachers may provide challenges by stressing proficiency in 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higher level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concepts instead of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perfection of simpler skills.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Meaningful Material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Make the material personal, and the “A-ha” may occur much sooner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For example, Matthew is now learning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more history than he ever did in school through his participation in </w:t>
      </w:r>
      <w:r>
        <w:rPr>
          <w:rFonts w:asciiTheme="majorHAnsi" w:hAnsiTheme="majorHAnsi" w:cs="Arial"/>
          <w:color w:val="000000"/>
          <w:sz w:val="24"/>
          <w:szCs w:val="24"/>
        </w:rPr>
        <w:t>the Society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for Creative Anachronism, an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international organization dedicated to researching 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lastRenderedPageBreak/>
        <w:t>and recreating pre-17th-century European history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reenactment or simulation places the child in a role-playing situation, which is ideal for visual-spatial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learners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Familiar analogies also help the spatial child make connections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Real world problem solving is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ideal for these children.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During Lectures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Lectures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may be difficult for visual-spatial learners because of the time it takes to translate the spoken word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into pictures (West, 1997)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Because of the spatial child's possible need for processing time, it is logical to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conclude that pauses built into the lecture would allow the spoken words to register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Drawing diagrams,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using graphic organizers, and taking notes in pictorial format may help the child to recall the information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more effectively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Lectures may be tape recorded, thus providing the opportunity to replay the lecture as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necessary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Emphasizing concepts over details, such as dates of battles and lists of geographical locations,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help these students to get the whole picture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Best of all, handouts might be distributed since the spatial</w:t>
      </w:r>
      <w:r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learner has difficulty taking dictation.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Foreign Language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Classroom instruction in foreign languages may be daunting due to the tendency for visual-spatial learners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to have difficulty with spelling (Silverman, 1989c)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For example, Shana failed Spanish in high school yet was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 first one in a group that traveled to Mexico to comprehend the language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For visual-spatial learners, total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immersion in a language is much more effective than learning in a classroom setting.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Math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“I don't belong here,” Laura announced when she arrived for her accelerated math class in fifth grade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was convinced that her placement in the group was inappropriate because she did poorly on timed math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tests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She did not consider the fact that she had placed fourth in the school on Continental Math League™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to be an important factor in her placement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By the end of fifth grade, Laura was excelling at sixth-grade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math concepts, but she still processed her multiplication facts slowly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In seventh grade, Laura was back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asking to be tutored in algebra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Laura, a visual-spatial learner, did not need to be taught the algebra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could explain it better than her tutor; her poor grades came from not writing down every step of every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problem as her highly sequential teacher insisted she do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Timed tests, drill and repetition cause many visual-spatial learners to believe they are poor mathematicians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(Silverman, 1989b)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Math might be taught within the context of the entire number system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Looking for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patterns in math such as 5678 or 56 = 7 × 8 and 4×9 = 6×6 may help with the retention of basic facts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Any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opportunity to devise their own method of problem solving is beneficial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For example, when teaching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division, a spatial learner may need the divisor, the dividend, and the quotient and then may need to be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allowed to figure out how division works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When using worksheets, ask the child to do the five hardest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problems on the page neatly and with 80% accuracy; if this is accomplished then 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lastRenderedPageBreak/>
        <w:t>the student does not have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to complete the remainder of the page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This reduced number is sufficient to prove mastery and eliminates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 repetitive aspect of the task.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Arial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Organizational Skills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Kaylee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>, a highly creative fourth grader who struggled to read, could not bear to see her mother throw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anything away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Every plastic fruit tray and paper towel roll possessed endless possibilities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As a result,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Kaylee's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bedroom at home and desk at school looked as though they had been ransacked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 visual-spatial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child's organizational strategies often appear non-existent (Silverman &amp; Freed, 1991)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Their creed might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well be, “to file is to pile.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”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As a child progresses through school, the number of books and supplies increases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 parent or teacher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might use the visual-spatial learner's preference for color to coordinate materials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When worksheets and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study guides are copied on colored paper, it is easier to keep organized and easier on the eyes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Subjects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may be coordinated </w:t>
      </w:r>
      <w:r>
        <w:rPr>
          <w:rFonts w:asciiTheme="majorHAnsi" w:hAnsiTheme="majorHAnsi" w:cs="Arial"/>
          <w:color w:val="000000"/>
          <w:sz w:val="24"/>
          <w:szCs w:val="24"/>
        </w:rPr>
        <w:t>with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different colors—for example, the math text might be covered in blue with a blue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math portfolio, spiral, binder or whatever other supplies are necessary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With a different color assigned for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each subject; this child may go to her locker and grab everything that is red or purple for the next class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Highlighters and assignment books or calendars go very well together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Each subject may be assigned a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different color, or long-term assignments may be highlighted in one color and short-term assignments in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another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Teach students how to create priority lists and schedules—they may not like it, but it is an essential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survival skill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As for </w:t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Kaylee's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bedroom, looking at the entire room was overwhelming so she would throw a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hoola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hoop into the room and clean the portion of the mom in which it landed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Toss by toss the mom got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cleaner and cleaner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Lack of a concept of time may impact the organization of a child with a visual-spatial approach to learning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Garrett's parents and teacher often found him gazing into space reflecting on the world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Garrett had 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ability to complete his work very quickly but did not seem to realize that time was passing as he pondered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his latest creation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 three-minute egg timer proved useful to help him grasp a concept of the passage of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time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Initially the timer was placed on his desk, and he was given a goal (five problems in the time it takes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for the sand to fall)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Gradually, Garrett took ownership of the timer and would set his own goals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These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learners also benefit from having reliable watches, preferably one with an alarm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Asked how he was able to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keep himself organized once he got to college, a highly visual-spatial young man said, 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“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Be involved in so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many activities that your life is scheduled for you!”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B52B8A" w:rsidRDefault="00B52B8A" w:rsidP="00B52B8A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b/>
          <w:bCs/>
          <w:color w:val="000000"/>
          <w:sz w:val="24"/>
          <w:szCs w:val="24"/>
        </w:rPr>
        <w:t>Teacher-Student Interaction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0000"/>
          <w:sz w:val="24"/>
          <w:szCs w:val="24"/>
        </w:rPr>
        <w:br/>
      </w:r>
      <w:r w:rsidRPr="00B52B8A">
        <w:rPr>
          <w:rFonts w:asciiTheme="majorHAnsi" w:hAnsiTheme="majorHAnsi" w:cs="Arial"/>
          <w:color w:val="000000"/>
          <w:sz w:val="24"/>
          <w:szCs w:val="24"/>
        </w:rPr>
        <w:t>The relationship a teacher builds with a child with a visual-spatial approach to learning is crucial to 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child's success in school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Being highly sensitive, a teacher should set a positive tone and discipline him or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her in private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Negative messages may result in an emotional shut down and therefore, an absence of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learning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Suggest some strategies for using the learner's visual strength to develop an awareness of what is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happening in the 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lastRenderedPageBreak/>
        <w:t>classroom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Teach the student to take clues from classmates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Just make sure he or she is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observing the right student, some are better role models than others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!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Institute a moment of silence at the end of class or the end of the school day so students may visualize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what they may need for homework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Have them take a few deep breaths, close their eyes, and relax; then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visualize what happened during the day and what will be needed for homework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Michael was working with his algebra tutor and was responding to her question with a very lengthy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explanation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She almost stopped him half way through his answer because he was clearly headed in 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wrong direction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Resisting the temptation, she was amazed as she heard him turn his reasoning completely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around and end with an accurate explanation of the process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Finding this a continuing pattern, one day she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asked him if any of his teachers ever cut him off in mid-sentence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Michael replied, “Oh, all the time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 just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don't even put my hand up anymore.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”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Often times, visual-spatial learners understand the concept but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struggle to explain it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Many visual-spatial children may start down the wrong path when answering a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question but by the end of their response, they have done an about face and responded correctly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spoken word actually gets in the way of their thinking, and it takes time to go through the verbal to visual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translation process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Let the child completely finish answering the question even if he appears off target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Also, allow significant wait time for visual-spatial learners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They may need time to translate the spoken word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to images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It may take a visual-spatial child longer to begin to answer the question than it took you to ask it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>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Most importantly, encourage the child's strengths; don't dwell on the weaknesses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This positive approach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may be difficult for gifted learners' with this learning style for they may exhibit their greatest abilities outside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of the traditional educational system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>However, they have strengths in areas that are often highly valued by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>society: creativity, ingenuity, and adaptability</w:t>
      </w:r>
      <w:proofErr w:type="gramStart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Believe in these children, they may well be the future </w:t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Edisons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and </w:t>
      </w:r>
      <w:proofErr w:type="spellStart"/>
      <w:r w:rsidRPr="00B52B8A">
        <w:rPr>
          <w:rFonts w:asciiTheme="majorHAnsi" w:hAnsiTheme="majorHAnsi" w:cs="Arial"/>
          <w:color w:val="000000"/>
          <w:sz w:val="24"/>
          <w:szCs w:val="24"/>
        </w:rPr>
        <w:t>Einsteins</w:t>
      </w:r>
      <w:proofErr w:type="spellEnd"/>
      <w:r w:rsidRPr="00B52B8A">
        <w:rPr>
          <w:rFonts w:asciiTheme="majorHAnsi" w:hAnsiTheme="majorHAnsi" w:cs="Arial"/>
          <w:color w:val="000000"/>
          <w:sz w:val="24"/>
          <w:szCs w:val="24"/>
        </w:rPr>
        <w:t xml:space="preserve"> of the world.</w:t>
      </w:r>
      <w:r>
        <w:rPr>
          <w:rFonts w:asciiTheme="majorHAnsi" w:hAnsiTheme="majorHAnsi" w:cs="Arial"/>
          <w:color w:val="000000"/>
          <w:sz w:val="24"/>
          <w:szCs w:val="24"/>
        </w:rPr>
        <w:t> </w:t>
      </w:r>
      <w:r>
        <w:rPr>
          <w:rFonts w:asciiTheme="majorHAnsi" w:hAnsiTheme="majorHAnsi" w:cs="Times New Roman"/>
          <w:color w:val="000000"/>
          <w:sz w:val="24"/>
          <w:szCs w:val="24"/>
        </w:rPr>
        <w:t> </w:t>
      </w:r>
    </w:p>
    <w:p w:rsidR="00B52B8A" w:rsidRPr="00627409" w:rsidRDefault="00B52B8A" w:rsidP="00B52B8A">
      <w:pPr>
        <w:rPr>
          <w:rFonts w:asciiTheme="majorHAnsi" w:hAnsiTheme="majorHAnsi" w:cs="Arial"/>
          <w:color w:val="0070C0"/>
          <w:sz w:val="24"/>
          <w:szCs w:val="24"/>
        </w:rPr>
      </w:pPr>
      <w:r w:rsidRPr="00627409">
        <w:rPr>
          <w:rFonts w:asciiTheme="majorHAnsi" w:hAnsiTheme="majorHAnsi" w:cs="Arial"/>
          <w:color w:val="0070C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Arial"/>
          <w:iCs/>
          <w:color w:val="000000"/>
          <w:sz w:val="24"/>
          <w:szCs w:val="24"/>
        </w:rPr>
      </w:pPr>
      <w:r w:rsidRPr="00627409">
        <w:rPr>
          <w:rFonts w:asciiTheme="majorHAnsi" w:hAnsiTheme="majorHAnsi" w:cs="Arial"/>
          <w:b/>
          <w:bCs/>
          <w:color w:val="0070C0"/>
          <w:sz w:val="24"/>
          <w:szCs w:val="24"/>
        </w:rPr>
        <w:t>References</w:t>
      </w:r>
      <w:r w:rsidRPr="00627409">
        <w:rPr>
          <w:rFonts w:asciiTheme="majorHAnsi" w:hAnsiTheme="majorHAnsi" w:cs="Arial"/>
          <w:b/>
          <w:bCs/>
          <w:color w:val="0070C0"/>
          <w:sz w:val="24"/>
          <w:szCs w:val="24"/>
        </w:rPr>
        <w:t> </w:t>
      </w:r>
      <w:r>
        <w:rPr>
          <w:rFonts w:asciiTheme="majorHAnsi" w:hAnsiTheme="majorHAnsi" w:cs="Arial"/>
          <w:b/>
          <w:bCs/>
          <w:color w:val="005BC7"/>
          <w:sz w:val="24"/>
          <w:szCs w:val="24"/>
        </w:rPr>
        <w:br/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Baum, S. (1984)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Meeting the needs of learning disabled gifted children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spellStart"/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Roeper</w:t>
      </w:r>
      <w:proofErr w:type="spell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 Review, 7, 16–19.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Arial"/>
          <w:iCs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Silverman, L., &amp; Freed, J. (1991)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Strategies for the visual spatial learner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Retrieved August 15, 1997, from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the World Wide Web: </w:t>
      </w:r>
      <w:r w:rsidRPr="00B52B8A">
        <w:rPr>
          <w:rFonts w:asciiTheme="majorHAnsi" w:hAnsiTheme="majorHAnsi" w:cs="Arial"/>
          <w:iCs/>
          <w:color w:val="005BC7"/>
          <w:sz w:val="24"/>
          <w:szCs w:val="24"/>
        </w:rPr>
        <w:t xml:space="preserve">http://www.dyslexia.com/library/sil 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ver1.htm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Silverman, L. (1989a)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Invisible gifts, invisible handicaps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spellStart"/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Roeper</w:t>
      </w:r>
      <w:proofErr w:type="spell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 Review, 12, 37–42.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Arial"/>
          <w:iCs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 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Silverman, L. (1989b)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Spatial learners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. Understanding our Gifted, 1(4), 37–42.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Arial"/>
          <w:iCs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Silverman, L. (1989c)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The visual-spatial learner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. Preventing School Failure, 34(1), 15–20.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Arial"/>
          <w:iCs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lastRenderedPageBreak/>
        <w:t>Silverman, L. (1997) Effective techniques for teaching highly gifted visual-spatial learners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Retrieved August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15, 1997, from the World Wide Web: </w:t>
      </w:r>
      <w:r w:rsidRPr="00B52B8A">
        <w:rPr>
          <w:rFonts w:asciiTheme="majorHAnsi" w:hAnsiTheme="majorHAnsi" w:cs="Arial"/>
          <w:iCs/>
          <w:color w:val="005BC7"/>
          <w:sz w:val="24"/>
          <w:szCs w:val="24"/>
        </w:rPr>
        <w:t>http://www.gifteddevelopment.com/</w:t>
      </w:r>
      <w:r w:rsidRPr="00B52B8A">
        <w:rPr>
          <w:rFonts w:asciiTheme="majorHAnsi" w:hAnsiTheme="majorHAnsi" w:cs="Arial"/>
          <w:iCs/>
          <w:color w:val="005BC7"/>
          <w:sz w:val="24"/>
          <w:szCs w:val="24"/>
        </w:rPr>
        <w:t>Arricles/EffectiveTechniques.ht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ml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B52B8A" w:rsidRPr="00B52B8A" w:rsidRDefault="00B52B8A" w:rsidP="00B52B8A">
      <w:pPr>
        <w:rPr>
          <w:rFonts w:asciiTheme="majorHAnsi" w:hAnsiTheme="majorHAnsi" w:cs="Arial"/>
          <w:iCs/>
          <w:color w:val="000000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Sword, L. (1997)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I think in pictures, you teach in words: The gifted visual-spatial learner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Retrieved May 5,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2000, from the World Wide Web: </w:t>
      </w:r>
      <w:r w:rsidRPr="00B52B8A">
        <w:rPr>
          <w:rFonts w:asciiTheme="majorHAnsi" w:hAnsiTheme="majorHAnsi" w:cs="Arial"/>
          <w:iCs/>
          <w:color w:val="005BC7"/>
          <w:sz w:val="24"/>
          <w:szCs w:val="24"/>
        </w:rPr>
        <w:t>http://www.nswagtc.org.au/ozgifte</w:t>
      </w:r>
      <w:r w:rsidRPr="00B52B8A">
        <w:rPr>
          <w:rFonts w:asciiTheme="majorHAnsi" w:hAnsiTheme="majorHAnsi" w:cs="Arial"/>
          <w:iCs/>
          <w:color w:val="005BC7"/>
          <w:sz w:val="24"/>
          <w:szCs w:val="24"/>
        </w:rPr>
        <w:t>d/conferences/SwordVisualSpatial.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htm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p w:rsidR="005B14DB" w:rsidRPr="00B52B8A" w:rsidRDefault="00B52B8A" w:rsidP="00B52B8A">
      <w:pPr>
        <w:rPr>
          <w:rFonts w:asciiTheme="majorHAnsi" w:hAnsiTheme="majorHAnsi" w:cs="Arial"/>
          <w:b/>
          <w:bCs/>
          <w:color w:val="005BC7"/>
          <w:sz w:val="24"/>
          <w:szCs w:val="24"/>
        </w:rPr>
      </w:pP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West, T. (1997)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 xml:space="preserve">. 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In the mind's eye: Visual thinkers, gifted people with dyslexia and other learning difficulties,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computer images, and the ironies of creativity (3rd ed.)</w:t>
      </w:r>
      <w:proofErr w:type="gramStart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. Buffalo, NY: Prometheus.</w:t>
      </w:r>
      <w:proofErr w:type="gramEnd"/>
      <w:r w:rsidRPr="00B52B8A">
        <w:rPr>
          <w:rFonts w:asciiTheme="majorHAnsi" w:hAnsiTheme="majorHAnsi" w:cs="Arial"/>
          <w:iCs/>
          <w:color w:val="000000"/>
          <w:sz w:val="24"/>
          <w:szCs w:val="24"/>
        </w:rPr>
        <w:t> </w:t>
      </w:r>
    </w:p>
    <w:sectPr w:rsidR="005B14DB" w:rsidRPr="00B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8A"/>
    <w:rsid w:val="005B14DB"/>
    <w:rsid w:val="00627409"/>
    <w:rsid w:val="00B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27409"/>
  </w:style>
  <w:style w:type="character" w:styleId="Emphasis">
    <w:name w:val="Emphasis"/>
    <w:basedOn w:val="DefaultParagraphFont"/>
    <w:uiPriority w:val="20"/>
    <w:qFormat/>
    <w:rsid w:val="006274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B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27409"/>
  </w:style>
  <w:style w:type="character" w:styleId="Emphasis">
    <w:name w:val="Emphasis"/>
    <w:basedOn w:val="DefaultParagraphFont"/>
    <w:uiPriority w:val="20"/>
    <w:qFormat/>
    <w:rsid w:val="00627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fteddevelopment.com/Articles/Effective&#160;Techniqu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4A3D-E7C0-48DF-A2E3-5475357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2013-07-02T16:11:00Z</dcterms:created>
  <dcterms:modified xsi:type="dcterms:W3CDTF">2013-07-02T16:29:00Z</dcterms:modified>
</cp:coreProperties>
</file>